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248" w:rsidRDefault="00823248">
      <w:pPr>
        <w:pStyle w:val="Standard1"/>
        <w:spacing w:line="276" w:lineRule="auto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W w:w="92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2"/>
        <w:gridCol w:w="2303"/>
        <w:gridCol w:w="1417"/>
        <w:gridCol w:w="1985"/>
        <w:gridCol w:w="1215"/>
      </w:tblGrid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</w:pPr>
            <w:r>
              <w:rPr>
                <w:b/>
                <w:lang w:val="en-GB"/>
              </w:rPr>
              <w:t>1. Course title:</w:t>
            </w:r>
            <w:r>
              <w:rPr>
                <w:lang w:val="en-GB"/>
              </w:rPr>
              <w:t xml:space="preserve"> Measure</w:t>
            </w:r>
            <w:r w:rsidR="00323E4B">
              <w:rPr>
                <w:lang w:val="en-GB"/>
              </w:rPr>
              <w:t>s</w:t>
            </w:r>
            <w:r>
              <w:rPr>
                <w:lang w:val="en-GB"/>
              </w:rPr>
              <w:t xml:space="preserve"> and Integral</w:t>
            </w:r>
            <w:r w:rsidR="00323E4B">
              <w:rPr>
                <w:lang w:val="en-GB"/>
              </w:rPr>
              <w:t>s</w:t>
            </w:r>
            <w:bookmarkStart w:id="0" w:name="_GoBack"/>
            <w:bookmarkEnd w:id="0"/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4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2. Code:</w:t>
            </w:r>
          </w:p>
        </w:tc>
        <w:tc>
          <w:tcPr>
            <w:tcW w:w="46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4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 w:rsidP="00CD39ED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 xml:space="preserve">4. Contact hours: </w:t>
            </w:r>
            <w:r w:rsidR="00CD39ED">
              <w:rPr>
                <w:b/>
                <w:lang w:val="en-GB"/>
              </w:rPr>
              <w:t>3</w:t>
            </w:r>
            <w:r>
              <w:rPr>
                <w:lang w:val="en-GB"/>
              </w:rPr>
              <w:t xml:space="preserve"> hours</w:t>
            </w:r>
            <w:r>
              <w:rPr>
                <w:b/>
                <w:lang w:val="en-GB"/>
              </w:rPr>
              <w:t xml:space="preserve"> </w:t>
            </w:r>
            <w:r>
              <w:rPr>
                <w:lang w:val="en-GB"/>
              </w:rPr>
              <w:t>per week</w:t>
            </w:r>
          </w:p>
        </w:tc>
        <w:tc>
          <w:tcPr>
            <w:tcW w:w="46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5. Number of credits (ECTS):</w:t>
            </w:r>
            <w:r w:rsidR="00CD39ED">
              <w:rPr>
                <w:lang w:val="en-GB"/>
              </w:rPr>
              <w:t xml:space="preserve"> 5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248" w:rsidRDefault="003F7C37">
            <w:pPr>
              <w:pStyle w:val="Standard1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6. Preliminary conditions (max. 3):</w:t>
            </w:r>
          </w:p>
          <w:p w:rsidR="00823248" w:rsidRDefault="00CD39ED" w:rsidP="00CD39ED">
            <w:pPr>
              <w:pStyle w:val="Standard1"/>
              <w:tabs>
                <w:tab w:val="center" w:pos="5256"/>
                <w:tab w:val="right" w:pos="979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Analysis in Several Variables lecture and discussions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</w:pPr>
            <w:bookmarkStart w:id="1" w:name="_gjdgxs"/>
            <w:bookmarkEnd w:id="1"/>
            <w:r>
              <w:rPr>
                <w:b/>
                <w:lang w:val="en-GB"/>
              </w:rPr>
              <w:t xml:space="preserve">7. Announced: </w:t>
            </w:r>
            <w:r>
              <w:rPr>
                <w:rFonts w:ascii="MS Mincho" w:eastAsia="MS Mincho" w:hAnsi="MS Mincho" w:cs="MS Mincho"/>
                <w:b/>
                <w:lang w:val="en-GB"/>
              </w:rPr>
              <w:t>x</w:t>
            </w:r>
            <w:r>
              <w:rPr>
                <w:b/>
                <w:lang w:val="en-GB"/>
              </w:rPr>
              <w:t xml:space="preserve"> </w:t>
            </w:r>
            <w:r>
              <w:rPr>
                <w:lang w:val="en-GB"/>
              </w:rPr>
              <w:t xml:space="preserve">fall semester, </w:t>
            </w:r>
            <w:r>
              <w:rPr>
                <w:rFonts w:ascii="MS Mincho" w:eastAsia="MS Mincho" w:hAnsi="MS Mincho" w:cs="MS Mincho"/>
                <w:lang w:val="en-GB"/>
              </w:rPr>
              <w:t xml:space="preserve"> </w:t>
            </w:r>
            <w:r>
              <w:rPr>
                <w:lang w:val="en-GB"/>
              </w:rPr>
              <w:t xml:space="preserve">spring semester, </w:t>
            </w:r>
            <w:r>
              <w:rPr>
                <w:rFonts w:ascii="MS Mincho" w:eastAsia="MS Mincho" w:hAnsi="MS Mincho" w:cs="MS Mincho"/>
                <w:lang w:val="en-GB"/>
              </w:rPr>
              <w:t>☐</w:t>
            </w:r>
            <w:r>
              <w:rPr>
                <w:lang w:val="en-GB"/>
              </w:rPr>
              <w:t>both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</w:pPr>
            <w:r>
              <w:rPr>
                <w:b/>
                <w:lang w:val="en-GB"/>
              </w:rPr>
              <w:t xml:space="preserve">8. Limit for participants: </w:t>
            </w:r>
            <w:r>
              <w:rPr>
                <w:lang w:val="en-GB"/>
              </w:rPr>
              <w:t>40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10. Responsible teacher (faculty, institute and department):</w:t>
            </w:r>
          </w:p>
          <w:p w:rsidR="00823248" w:rsidRDefault="003F7C37">
            <w:pPr>
              <w:pStyle w:val="Standard1"/>
              <w:tabs>
                <w:tab w:val="center" w:pos="5244"/>
                <w:tab w:val="right" w:pos="9780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Alice </w:t>
            </w:r>
            <w:proofErr w:type="spellStart"/>
            <w:r>
              <w:rPr>
                <w:lang w:val="en-GB"/>
              </w:rPr>
              <w:t>Fialowski</w:t>
            </w:r>
            <w:proofErr w:type="spellEnd"/>
            <w:r>
              <w:rPr>
                <w:lang w:val="en-GB"/>
              </w:rPr>
              <w:t xml:space="preserve"> PhD, DSC, dr.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t xml:space="preserve">  (Faculty of Science, Institute of Mathematics and Informatics, Department of  Mathematics)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46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11. Teacher(s) and percentage:</w:t>
            </w:r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Alice </w:t>
            </w:r>
            <w:proofErr w:type="spellStart"/>
            <w:r>
              <w:rPr>
                <w:lang w:val="en-GB"/>
              </w:rPr>
              <w:t>Fialowski</w:t>
            </w:r>
            <w:proofErr w:type="spellEnd"/>
            <w:r>
              <w:rPr>
                <w:lang w:val="en-GB"/>
              </w:rPr>
              <w:t xml:space="preserve"> PhD, DSC, </w:t>
            </w:r>
            <w:proofErr w:type="spellStart"/>
            <w:r>
              <w:rPr>
                <w:lang w:val="en-GB"/>
              </w:rPr>
              <w:t>dr.Habil</w:t>
            </w:r>
            <w:proofErr w:type="spellEnd"/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823248">
        <w:trPr>
          <w:jc w:val="center"/>
        </w:trPr>
        <w:tc>
          <w:tcPr>
            <w:tcW w:w="46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37" w:rsidRDefault="003F7C37"/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tabs>
                <w:tab w:val="center" w:pos="4536"/>
                <w:tab w:val="right" w:pos="9072"/>
              </w:tabs>
              <w:rPr>
                <w:lang w:val="en-GB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</w:pPr>
            <w:r>
              <w:rPr>
                <w:b/>
                <w:lang w:val="en-GB"/>
              </w:rPr>
              <w:t xml:space="preserve">12. Language: </w:t>
            </w:r>
            <w:r>
              <w:rPr>
                <w:lang w:val="en-GB"/>
              </w:rPr>
              <w:t>English</w:t>
            </w: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248" w:rsidRDefault="003F7C37">
            <w:pPr>
              <w:pStyle w:val="Standard1"/>
              <w:jc w:val="both"/>
            </w:pPr>
            <w:r>
              <w:rPr>
                <w:b/>
                <w:lang w:val="en-GB"/>
              </w:rPr>
              <w:t xml:space="preserve">13. Course objectives and/or learning outcomes: </w:t>
            </w:r>
            <w:r>
              <w:rPr>
                <w:lang w:val="en-GB"/>
              </w:rPr>
              <w:t>To get acquainted with Lebesgue measure and integral.</w:t>
            </w:r>
          </w:p>
          <w:p w:rsidR="00823248" w:rsidRDefault="003F7C37">
            <w:pPr>
              <w:pStyle w:val="Standard1"/>
              <w:jc w:val="both"/>
            </w:pPr>
            <w:r>
              <w:rPr>
                <w:b/>
                <w:lang w:val="en-GB"/>
              </w:rPr>
              <w:t>Objectives:</w:t>
            </w:r>
            <w:r>
              <w:rPr>
                <w:rFonts w:ascii="CMR10" w:hAnsi="CMR10" w:cs="CMR10"/>
              </w:rPr>
              <w:t xml:space="preserve">  </w:t>
            </w:r>
          </w:p>
          <w:p w:rsidR="00823248" w:rsidRDefault="003F7C37">
            <w:pPr>
              <w:pStyle w:val="Standard1"/>
              <w:jc w:val="both"/>
            </w:pPr>
            <w:r>
              <w:rPr>
                <w:b/>
                <w:lang w:val="en-GB"/>
              </w:rPr>
              <w:t>Learning outcomes</w:t>
            </w:r>
            <w:proofErr w:type="gramStart"/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>.</w:t>
            </w:r>
            <w:proofErr w:type="gramEnd"/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248" w:rsidRDefault="003F7C37">
            <w:pPr>
              <w:pStyle w:val="Standard1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14. Course outline</w:t>
            </w:r>
          </w:p>
          <w:p w:rsidR="00823248" w:rsidRDefault="003F7C37">
            <w:pPr>
              <w:pStyle w:val="Standarduser"/>
              <w:numPr>
                <w:ilvl w:val="0"/>
                <w:numId w:val="10"/>
              </w:numPr>
              <w:tabs>
                <w:tab w:val="left" w:pos="1572"/>
              </w:tabs>
              <w:ind w:left="432" w:hanging="360"/>
              <w:jc w:val="both"/>
            </w:pPr>
            <w:r>
              <w:t>Notion of measure, examples. Definition of a measurable space.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Sigma algebra, sigma finiteness. Examples.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Definition of outer measure, construction of complete measure from a set function.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 xml:space="preserve">Lebesgue measure on </w:t>
            </w:r>
            <w:r>
              <w:rPr>
                <w:b/>
                <w:bCs/>
              </w:rPr>
              <w:t>R</w:t>
            </w:r>
            <w:r>
              <w:t xml:space="preserve">. Lebesgue measurable sets. </w:t>
            </w:r>
            <w:proofErr w:type="spellStart"/>
            <w:r>
              <w:t>Vitali</w:t>
            </w:r>
            <w:proofErr w:type="spellEnd"/>
            <w:r>
              <w:t xml:space="preserve"> set. </w:t>
            </w:r>
            <w:proofErr w:type="spellStart"/>
            <w:r>
              <w:t>Borel</w:t>
            </w:r>
            <w:proofErr w:type="spellEnd"/>
            <w:r>
              <w:t xml:space="preserve"> measurable sets.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Measurable functions, sequences of measurable functions.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Step functions. Basic theorem of measurable functions.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proofErr w:type="spellStart"/>
            <w:r>
              <w:t>Jegorov</w:t>
            </w:r>
            <w:proofErr w:type="spellEnd"/>
            <w:r>
              <w:t xml:space="preserve"> Theorem.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Lebesgue Theorem.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Integration of step functions, properties.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Integral of non-negative measurable functions.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Monotone convergence Theorem.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 xml:space="preserve">Lebesgue </w:t>
            </w:r>
            <w:proofErr w:type="spellStart"/>
            <w:r>
              <w:t>Majorated</w:t>
            </w:r>
            <w:proofErr w:type="spellEnd"/>
            <w:r>
              <w:t xml:space="preserve"> Convergence Theorem.</w:t>
            </w:r>
          </w:p>
          <w:p w:rsidR="00823248" w:rsidRDefault="003F7C37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Connections between Riemann and Lebesgue integral.</w:t>
            </w:r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rPr>
                <w:b/>
                <w:lang w:val="en-GB"/>
              </w:rPr>
            </w:pPr>
            <w:r>
              <w:rPr>
                <w:b/>
                <w:lang w:val="en-GB"/>
              </w:rPr>
              <w:t>15. Mid-semester works</w:t>
            </w:r>
          </w:p>
          <w:p w:rsidR="00823248" w:rsidRDefault="003F7C37">
            <w:pPr>
              <w:pStyle w:val="Standard1"/>
              <w:rPr>
                <w:lang w:val="en-GB"/>
              </w:rPr>
            </w:pPr>
            <w:bookmarkStart w:id="2" w:name="_30j0zll"/>
            <w:bookmarkEnd w:id="2"/>
            <w:r>
              <w:rPr>
                <w:lang w:val="en-GB"/>
              </w:rPr>
              <w:t>Attending lectures is highly recommended.</w:t>
            </w:r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rPr>
                <w:b/>
                <w:lang w:val="en-GB"/>
              </w:rPr>
            </w:pPr>
            <w:r>
              <w:rPr>
                <w:b/>
                <w:lang w:val="en-GB"/>
              </w:rPr>
              <w:t>16. Course requirements and grading</w:t>
            </w:r>
          </w:p>
          <w:p w:rsidR="00823248" w:rsidRDefault="003F7C37">
            <w:pPr>
              <w:pStyle w:val="Standard1"/>
              <w:rPr>
                <w:lang w:val="en-GB"/>
              </w:rPr>
            </w:pPr>
            <w:r>
              <w:rPr>
                <w:lang w:val="en-GB"/>
              </w:rPr>
              <w:t xml:space="preserve">The semester ends with </w:t>
            </w:r>
            <w:proofErr w:type="gramStart"/>
            <w:r>
              <w:rPr>
                <w:lang w:val="en-GB"/>
              </w:rPr>
              <w:t>an</w:t>
            </w:r>
            <w:proofErr w:type="gramEnd"/>
            <w:r>
              <w:rPr>
                <w:lang w:val="en-GB"/>
              </w:rPr>
              <w:t xml:space="preserve"> 100 point written exam. Depending on the score the grades are the following:</w:t>
            </w:r>
          </w:p>
          <w:p w:rsidR="00823248" w:rsidRDefault="003F7C37">
            <w:pPr>
              <w:pStyle w:val="Standard1"/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 0%–41% fail (F)</w:t>
            </w:r>
          </w:p>
          <w:p w:rsidR="00823248" w:rsidRDefault="003F7C37">
            <w:pPr>
              <w:pStyle w:val="Standard1"/>
              <w:ind w:left="708"/>
              <w:rPr>
                <w:lang w:val="en-GB"/>
              </w:rPr>
            </w:pPr>
            <w:r>
              <w:rPr>
                <w:lang w:val="en-GB"/>
              </w:rPr>
              <w:t>42%–54% satisfactory (D)</w:t>
            </w:r>
          </w:p>
          <w:p w:rsidR="00823248" w:rsidRDefault="003F7C37">
            <w:pPr>
              <w:pStyle w:val="Standard1"/>
              <w:ind w:left="708"/>
              <w:rPr>
                <w:lang w:val="en-GB"/>
              </w:rPr>
            </w:pPr>
            <w:r>
              <w:rPr>
                <w:lang w:val="en-GB"/>
              </w:rPr>
              <w:t>55%–67% average (C)</w:t>
            </w:r>
          </w:p>
          <w:p w:rsidR="00823248" w:rsidRDefault="003F7C37">
            <w:pPr>
              <w:pStyle w:val="Standard1"/>
              <w:ind w:left="708"/>
              <w:rPr>
                <w:lang w:val="en-GB"/>
              </w:rPr>
            </w:pPr>
            <w:r>
              <w:rPr>
                <w:lang w:val="en-GB"/>
              </w:rPr>
              <w:t>68%–83% good (B)</w:t>
            </w:r>
          </w:p>
          <w:p w:rsidR="00823248" w:rsidRDefault="003F7C37">
            <w:pPr>
              <w:pStyle w:val="Standard1"/>
              <w:ind w:left="142"/>
              <w:rPr>
                <w:lang w:val="en-GB"/>
              </w:rPr>
            </w:pPr>
            <w:r>
              <w:rPr>
                <w:lang w:val="en-GB"/>
              </w:rPr>
              <w:t xml:space="preserve">            84%–100% excellent (A)</w:t>
            </w:r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248" w:rsidRDefault="003F7C37">
            <w:pPr>
              <w:pStyle w:val="Standard1"/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17. List of readings</w:t>
            </w:r>
          </w:p>
          <w:p w:rsidR="00823248" w:rsidRDefault="003F7C37">
            <w:pPr>
              <w:pStyle w:val="Standarduser"/>
              <w:numPr>
                <w:ilvl w:val="0"/>
                <w:numId w:val="11"/>
              </w:numPr>
            </w:pPr>
            <w:r>
              <w:t>Gail Nelson: A User-Friendly Introduction to Lebesgue Measure and Integration, AMS 2015.</w:t>
            </w:r>
          </w:p>
          <w:p w:rsidR="00823248" w:rsidRDefault="003F7C37">
            <w:pPr>
              <w:pStyle w:val="Standarduser"/>
              <w:numPr>
                <w:ilvl w:val="0"/>
                <w:numId w:val="8"/>
              </w:numPr>
            </w:pPr>
            <w:r>
              <w:t xml:space="preserve">Martin </w:t>
            </w:r>
            <w:proofErr w:type="spellStart"/>
            <w:r>
              <w:t>Brokate</w:t>
            </w:r>
            <w:proofErr w:type="spellEnd"/>
            <w:r>
              <w:t xml:space="preserve">, </w:t>
            </w:r>
            <w:proofErr w:type="spellStart"/>
            <w:r>
              <w:t>Götz</w:t>
            </w:r>
            <w:proofErr w:type="spellEnd"/>
            <w:r>
              <w:t xml:space="preserve"> </w:t>
            </w:r>
            <w:proofErr w:type="spellStart"/>
            <w:r>
              <w:t>Kersting</w:t>
            </w:r>
            <w:proofErr w:type="spellEnd"/>
            <w:r>
              <w:t xml:space="preserve">: measure and Integral, </w:t>
            </w:r>
            <w:proofErr w:type="spellStart"/>
            <w:r>
              <w:t>Birkhauser</w:t>
            </w:r>
            <w:proofErr w:type="spellEnd"/>
            <w:r>
              <w:t xml:space="preserve"> 2011.</w:t>
            </w:r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4"/>
                <w:szCs w:val="24"/>
                <w:lang w:val="en-GB"/>
              </w:rPr>
            </w:pPr>
          </w:p>
        </w:tc>
      </w:tr>
      <w:tr w:rsidR="00823248">
        <w:trPr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248" w:rsidRDefault="003F7C37">
            <w:pPr>
              <w:pStyle w:val="Standard1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18. Recommended texts, further readings</w:t>
            </w:r>
          </w:p>
          <w:p w:rsidR="00823248" w:rsidRDefault="003F7C37">
            <w:pPr>
              <w:pStyle w:val="Standard1"/>
              <w:jc w:val="both"/>
              <w:rPr>
                <w:rFonts w:ascii="CMR10" w:hAnsi="CMR10" w:cs="CMR10"/>
              </w:rPr>
            </w:pPr>
            <w:r>
              <w:rPr>
                <w:rFonts w:ascii="CMR10" w:hAnsi="CMR10" w:cs="CMR10"/>
              </w:rPr>
              <w:t>.</w:t>
            </w:r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trHeight w:val="814"/>
          <w:jc w:val="center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center"/>
              <w:rPr>
                <w:lang w:val="en-GB"/>
              </w:rPr>
            </w:pPr>
            <w:r>
              <w:rPr>
                <w:lang w:val="en-GB"/>
              </w:rPr>
              <w:t>10 May, 2017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Prepared by</w:t>
            </w:r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Alice </w:t>
            </w:r>
            <w:proofErr w:type="spellStart"/>
            <w:r>
              <w:rPr>
                <w:lang w:val="en-GB"/>
              </w:rPr>
              <w:t>Fialowski</w:t>
            </w:r>
            <w:proofErr w:type="spellEnd"/>
            <w:r>
              <w:rPr>
                <w:lang w:val="en-GB"/>
              </w:rPr>
              <w:t xml:space="preserve"> PhD, DSC, dr.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t>, responsible teacher</w:t>
            </w:r>
          </w:p>
        </w:tc>
      </w:tr>
      <w:tr w:rsidR="00823248">
        <w:trPr>
          <w:trHeight w:val="20"/>
          <w:jc w:val="center"/>
        </w:trPr>
        <w:tc>
          <w:tcPr>
            <w:tcW w:w="9222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823248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823248">
        <w:trPr>
          <w:trHeight w:val="814"/>
          <w:jc w:val="center"/>
        </w:trPr>
        <w:tc>
          <w:tcPr>
            <w:tcW w:w="60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Endorsed by</w:t>
            </w:r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248" w:rsidRDefault="003F7C37">
            <w:pPr>
              <w:pStyle w:val="Standard1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László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Tóth</w:t>
            </w:r>
            <w:proofErr w:type="spellEnd"/>
            <w:r>
              <w:rPr>
                <w:lang w:val="en-GB"/>
              </w:rPr>
              <w:t xml:space="preserve">, PhD, </w:t>
            </w: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br/>
              <w:t>program supervisor</w:t>
            </w:r>
          </w:p>
        </w:tc>
      </w:tr>
    </w:tbl>
    <w:p w:rsidR="00823248" w:rsidRDefault="00823248">
      <w:pPr>
        <w:pStyle w:val="Standard1"/>
      </w:pPr>
    </w:p>
    <w:sectPr w:rsidR="00823248">
      <w:headerReference w:type="default" r:id="rId8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CE" w:rsidRDefault="00166FCE">
      <w:r>
        <w:separator/>
      </w:r>
    </w:p>
  </w:endnote>
  <w:endnote w:type="continuationSeparator" w:id="0">
    <w:p w:rsidR="00166FCE" w:rsidRDefault="0016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MR10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CE" w:rsidRDefault="00166FCE">
      <w:r>
        <w:separator/>
      </w:r>
    </w:p>
  </w:footnote>
  <w:footnote w:type="continuationSeparator" w:id="0">
    <w:p w:rsidR="00166FCE" w:rsidRDefault="0016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C37" w:rsidRDefault="003F7C37">
    <w:pPr>
      <w:pStyle w:val="Standard1"/>
      <w:spacing w:before="426" w:line="276" w:lineRule="auto"/>
    </w:pPr>
  </w:p>
  <w:tbl>
    <w:tblPr>
      <w:tblW w:w="9242" w:type="dxa"/>
      <w:tblInd w:w="-193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621"/>
      <w:gridCol w:w="3970"/>
      <w:gridCol w:w="2651"/>
    </w:tblGrid>
    <w:tr w:rsidR="003F7C37">
      <w:tc>
        <w:tcPr>
          <w:tcW w:w="2621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</w:tcBorders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F7C37" w:rsidRDefault="003F7C37">
          <w:pPr>
            <w:pStyle w:val="berschrift4"/>
          </w:pPr>
          <w:r>
            <w:t>UP FS</w:t>
          </w:r>
        </w:p>
      </w:tc>
      <w:tc>
        <w:tcPr>
          <w:tcW w:w="3970" w:type="dxa"/>
          <w:tcBorders>
            <w:top w:val="single" w:sz="12" w:space="0" w:color="000001"/>
            <w:left w:val="single" w:sz="4" w:space="0" w:color="000001"/>
            <w:bottom w:val="single" w:sz="12" w:space="0" w:color="000001"/>
          </w:tcBorders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F7C37" w:rsidRDefault="003F7C37">
          <w:pPr>
            <w:pStyle w:val="Standard1"/>
            <w:keepNext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single" w:sz="12" w:space="0" w:color="000001"/>
          </w:tcBorders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F7C37" w:rsidRDefault="003F7C37">
          <w:pPr>
            <w:pStyle w:val="Standard1"/>
            <w:jc w:val="right"/>
          </w:pPr>
          <w:r>
            <w:t xml:space="preserve">Page: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23E4B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3F7C37" w:rsidRDefault="003F7C37">
    <w:pPr>
      <w:pStyle w:val="Standard1"/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5F50"/>
    <w:multiLevelType w:val="multilevel"/>
    <w:tmpl w:val="AEF2EB4C"/>
    <w:styleLink w:val="WWNum6"/>
    <w:lvl w:ilvl="0">
      <w:start w:val="1"/>
      <w:numFmt w:val="decimal"/>
      <w:lvlText w:val="Week 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20C846C0"/>
    <w:multiLevelType w:val="multilevel"/>
    <w:tmpl w:val="052CA35C"/>
    <w:styleLink w:val="WWNum7"/>
    <w:lvl w:ilvl="0">
      <w:start w:val="1"/>
      <w:numFmt w:val="decimal"/>
      <w:lvlText w:val="[%1]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FC835E6"/>
    <w:multiLevelType w:val="multilevel"/>
    <w:tmpl w:val="F3B03CAC"/>
    <w:styleLink w:val="WWNum5"/>
    <w:lvl w:ilvl="0">
      <w:start w:val="1"/>
      <w:numFmt w:val="decimal"/>
      <w:lvlText w:val="%1. hét: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8AA0714"/>
    <w:multiLevelType w:val="multilevel"/>
    <w:tmpl w:val="69DE06AE"/>
    <w:styleLink w:val="WWNum1"/>
    <w:lvl w:ilvl="0">
      <w:numFmt w:val="bullet"/>
      <w:lvlText w:val="–"/>
      <w:lvlJc w:val="left"/>
      <w:rPr>
        <w:rFonts w:ascii="Arial" w:eastAsia="Arial" w:hAnsi="Arial" w:cs="Arial"/>
      </w:rPr>
    </w:lvl>
    <w:lvl w:ilvl="1">
      <w:numFmt w:val="bullet"/>
      <w:lvlText w:null="1"/>
      <w:lvlJc w:val="left"/>
    </w:lvl>
    <w:lvl w:ilvl="2">
      <w:numFmt w:val="bullet"/>
      <w:lvlText w:null="1"/>
      <w:lvlJc w:val="left"/>
    </w:lvl>
    <w:lvl w:ilvl="3">
      <w:numFmt w:val="bullet"/>
      <w:lvlText w:null="1"/>
      <w:lvlJc w:val="left"/>
    </w:lvl>
    <w:lvl w:ilvl="4">
      <w:numFmt w:val="bullet"/>
      <w:lvlText w:null="1"/>
      <w:lvlJc w:val="left"/>
    </w:lvl>
    <w:lvl w:ilvl="5">
      <w:numFmt w:val="bullet"/>
      <w:lvlText w:null="1"/>
      <w:lvlJc w:val="left"/>
    </w:lvl>
    <w:lvl w:ilvl="6">
      <w:numFmt w:val="bullet"/>
      <w:lvlText w:null="1"/>
      <w:lvlJc w:val="left"/>
    </w:lvl>
    <w:lvl w:ilvl="7">
      <w:numFmt w:val="bullet"/>
      <w:lvlText w:null="1"/>
      <w:lvlJc w:val="left"/>
    </w:lvl>
    <w:lvl w:ilvl="8">
      <w:numFmt w:val="bullet"/>
      <w:lvlText w:null="1"/>
      <w:lvlJc w:val="left"/>
    </w:lvl>
  </w:abstractNum>
  <w:abstractNum w:abstractNumId="4">
    <w:nsid w:val="3A714D8E"/>
    <w:multiLevelType w:val="multilevel"/>
    <w:tmpl w:val="2C8C49A6"/>
    <w:styleLink w:val="WWNum3"/>
    <w:lvl w:ilvl="0">
      <w:start w:val="1"/>
      <w:numFmt w:val="decimal"/>
      <w:lvlText w:val="Week %1."/>
      <w:lvlJc w:val="left"/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41256527"/>
    <w:multiLevelType w:val="multilevel"/>
    <w:tmpl w:val="A47EF02C"/>
    <w:styleLink w:val="WWNum2"/>
    <w:lvl w:ilvl="0">
      <w:start w:val="1"/>
      <w:numFmt w:val="decimal"/>
      <w:lvlText w:val="[%1]"/>
      <w:lvlJc w:val="left"/>
    </w:lvl>
    <w:lvl w:ilvl="1">
      <w:numFmt w:val="bullet"/>
      <w:lvlText w:null="1"/>
      <w:lvlJc w:val="left"/>
    </w:lvl>
    <w:lvl w:ilvl="2">
      <w:numFmt w:val="bullet"/>
      <w:lvlText w:null="1"/>
      <w:lvlJc w:val="left"/>
    </w:lvl>
    <w:lvl w:ilvl="3">
      <w:numFmt w:val="bullet"/>
      <w:lvlText w:null="1"/>
      <w:lvlJc w:val="left"/>
    </w:lvl>
    <w:lvl w:ilvl="4">
      <w:numFmt w:val="bullet"/>
      <w:lvlText w:null="1"/>
      <w:lvlJc w:val="left"/>
    </w:lvl>
    <w:lvl w:ilvl="5">
      <w:numFmt w:val="bullet"/>
      <w:lvlText w:null="1"/>
      <w:lvlJc w:val="left"/>
    </w:lvl>
    <w:lvl w:ilvl="6">
      <w:numFmt w:val="bullet"/>
      <w:lvlText w:null="1"/>
      <w:lvlJc w:val="left"/>
    </w:lvl>
    <w:lvl w:ilvl="7">
      <w:numFmt w:val="bullet"/>
      <w:lvlText w:null="1"/>
      <w:lvlJc w:val="left"/>
    </w:lvl>
    <w:lvl w:ilvl="8">
      <w:numFmt w:val="bullet"/>
      <w:lvlText w:null="1"/>
      <w:lvlJc w:val="left"/>
    </w:lvl>
  </w:abstractNum>
  <w:abstractNum w:abstractNumId="6">
    <w:nsid w:val="51C35CAB"/>
    <w:multiLevelType w:val="multilevel"/>
    <w:tmpl w:val="B41ACDDE"/>
    <w:styleLink w:val="KeineListe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7">
    <w:nsid w:val="7AD74AA4"/>
    <w:multiLevelType w:val="multilevel"/>
    <w:tmpl w:val="6840FE10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48"/>
    <w:rsid w:val="00166FCE"/>
    <w:rsid w:val="00323E4B"/>
    <w:rsid w:val="003F7C37"/>
    <w:rsid w:val="007256F8"/>
    <w:rsid w:val="00823248"/>
    <w:rsid w:val="00B750DC"/>
    <w:rsid w:val="00BA6834"/>
    <w:rsid w:val="00CA239C"/>
    <w:rsid w:val="00C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textAlignment w:val="baseline"/>
    </w:pPr>
    <w:rPr>
      <w:color w:val="000000"/>
      <w:kern w:val="3"/>
    </w:rPr>
  </w:style>
  <w:style w:type="paragraph" w:styleId="berschrift1">
    <w:name w:val="heading 1"/>
    <w:basedOn w:val="Standard1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1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1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1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1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1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pPr>
      <w:suppressAutoHyphens/>
      <w:autoSpaceDN w:val="0"/>
      <w:textAlignment w:val="baseline"/>
    </w:pPr>
    <w:rPr>
      <w:color w:val="000000"/>
      <w:kern w:val="3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1"/>
    <w:pPr>
      <w:spacing w:after="140" w:line="288" w:lineRule="auto"/>
    </w:pPr>
  </w:style>
  <w:style w:type="paragraph" w:styleId="Liste">
    <w:name w:val="List"/>
    <w:basedOn w:val="Textbody"/>
    <w:rPr>
      <w:rFonts w:cs="FreeSans"/>
      <w:sz w:val="24"/>
    </w:rPr>
  </w:style>
  <w:style w:type="paragraph" w:styleId="Beschriftung">
    <w:name w:val="caption"/>
    <w:basedOn w:val="Standard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  <w:rPr>
      <w:rFonts w:cs="FreeSans"/>
      <w:sz w:val="24"/>
    </w:rPr>
  </w:style>
  <w:style w:type="paragraph" w:styleId="Titel">
    <w:name w:val="Title"/>
    <w:basedOn w:val="Standard1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nabsatz">
    <w:name w:val="List Paragraph"/>
    <w:basedOn w:val="Standard1"/>
    <w:pPr>
      <w:ind w:left="720"/>
    </w:p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color w:val="00000A"/>
      <w:kern w:val="3"/>
      <w:sz w:val="24"/>
      <w:szCs w:val="24"/>
      <w:lang w:val="en-US" w:eastAsia="zh-CN" w:bidi="hi-IN"/>
    </w:rPr>
  </w:style>
  <w:style w:type="paragraph" w:styleId="Kopfzeile">
    <w:name w:val="header"/>
    <w:basedOn w:val="Standard1"/>
  </w:style>
  <w:style w:type="paragraph" w:customStyle="1" w:styleId="TableContents">
    <w:name w:val="Table Contents"/>
    <w:basedOn w:val="Standard1"/>
  </w:style>
  <w:style w:type="character" w:customStyle="1" w:styleId="Cmsor1Char">
    <w:name w:val="Címsor 1 Char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rPr>
      <w:rFonts w:ascii="Calibri" w:eastAsia="Calibri" w:hAnsi="Calibri" w:cs="Calibri"/>
      <w:b/>
      <w:sz w:val="26"/>
      <w:szCs w:val="26"/>
    </w:rPr>
  </w:style>
  <w:style w:type="character" w:styleId="Fett">
    <w:name w:val="Strong"/>
    <w:rPr>
      <w:b/>
      <w:bCs/>
    </w:rPr>
  </w:style>
  <w:style w:type="character" w:customStyle="1" w:styleId="inline">
    <w:name w:val="inline"/>
    <w:basedOn w:val="Absatz-Standardschriftart"/>
  </w:style>
  <w:style w:type="character" w:customStyle="1" w:styleId="ListLabel1">
    <w:name w:val="ListLabel 1"/>
    <w:rPr>
      <w:rFonts w:eastAsia="Arial" w:cs="Arial"/>
    </w:rPr>
  </w:style>
  <w:style w:type="character" w:customStyle="1" w:styleId="ListLabel2">
    <w:name w:val="ListLabel 2"/>
    <w:rPr>
      <w:b/>
      <w:i w:val="0"/>
      <w:sz w:val="20"/>
      <w:szCs w:val="20"/>
    </w:rPr>
  </w:style>
  <w:style w:type="character" w:customStyle="1" w:styleId="ListLabel3">
    <w:name w:val="ListLabel 3"/>
    <w:rPr>
      <w:b/>
      <w:i w:val="0"/>
    </w:rPr>
  </w:style>
  <w:style w:type="numbering" w:customStyle="1" w:styleId="KeineListe1">
    <w:name w:val="Keine Liste1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  <w:style w:type="numbering" w:customStyle="1" w:styleId="WWNum3">
    <w:name w:val="WWNum3"/>
    <w:basedOn w:val="KeineListe"/>
    <w:pPr>
      <w:numPr>
        <w:numId w:val="4"/>
      </w:numPr>
    </w:pPr>
  </w:style>
  <w:style w:type="numbering" w:customStyle="1" w:styleId="WWNum4">
    <w:name w:val="WWNum4"/>
    <w:basedOn w:val="KeineListe"/>
    <w:pPr>
      <w:numPr>
        <w:numId w:val="5"/>
      </w:numPr>
    </w:pPr>
  </w:style>
  <w:style w:type="numbering" w:customStyle="1" w:styleId="WWNum5">
    <w:name w:val="WWNum5"/>
    <w:basedOn w:val="KeineListe"/>
    <w:pPr>
      <w:numPr>
        <w:numId w:val="6"/>
      </w:numPr>
    </w:pPr>
  </w:style>
  <w:style w:type="numbering" w:customStyle="1" w:styleId="WWNum6">
    <w:name w:val="WWNum6"/>
    <w:basedOn w:val="KeineListe"/>
    <w:pPr>
      <w:numPr>
        <w:numId w:val="7"/>
      </w:numPr>
    </w:pPr>
  </w:style>
  <w:style w:type="numbering" w:customStyle="1" w:styleId="WWNum7">
    <w:name w:val="WWNum7"/>
    <w:basedOn w:val="KeineListe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textAlignment w:val="baseline"/>
    </w:pPr>
    <w:rPr>
      <w:color w:val="000000"/>
      <w:kern w:val="3"/>
    </w:rPr>
  </w:style>
  <w:style w:type="paragraph" w:styleId="berschrift1">
    <w:name w:val="heading 1"/>
    <w:basedOn w:val="Standard1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1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1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1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1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1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pPr>
      <w:suppressAutoHyphens/>
      <w:autoSpaceDN w:val="0"/>
      <w:textAlignment w:val="baseline"/>
    </w:pPr>
    <w:rPr>
      <w:color w:val="000000"/>
      <w:kern w:val="3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1"/>
    <w:pPr>
      <w:spacing w:after="140" w:line="288" w:lineRule="auto"/>
    </w:pPr>
  </w:style>
  <w:style w:type="paragraph" w:styleId="Liste">
    <w:name w:val="List"/>
    <w:basedOn w:val="Textbody"/>
    <w:rPr>
      <w:rFonts w:cs="FreeSans"/>
      <w:sz w:val="24"/>
    </w:rPr>
  </w:style>
  <w:style w:type="paragraph" w:styleId="Beschriftung">
    <w:name w:val="caption"/>
    <w:basedOn w:val="Standard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  <w:rPr>
      <w:rFonts w:cs="FreeSans"/>
      <w:sz w:val="24"/>
    </w:rPr>
  </w:style>
  <w:style w:type="paragraph" w:styleId="Titel">
    <w:name w:val="Title"/>
    <w:basedOn w:val="Standard1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nabsatz">
    <w:name w:val="List Paragraph"/>
    <w:basedOn w:val="Standard1"/>
    <w:pPr>
      <w:ind w:left="720"/>
    </w:p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color w:val="00000A"/>
      <w:kern w:val="3"/>
      <w:sz w:val="24"/>
      <w:szCs w:val="24"/>
      <w:lang w:val="en-US" w:eastAsia="zh-CN" w:bidi="hi-IN"/>
    </w:rPr>
  </w:style>
  <w:style w:type="paragraph" w:styleId="Kopfzeile">
    <w:name w:val="header"/>
    <w:basedOn w:val="Standard1"/>
  </w:style>
  <w:style w:type="paragraph" w:customStyle="1" w:styleId="TableContents">
    <w:name w:val="Table Contents"/>
    <w:basedOn w:val="Standard1"/>
  </w:style>
  <w:style w:type="character" w:customStyle="1" w:styleId="Cmsor1Char">
    <w:name w:val="Címsor 1 Char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rPr>
      <w:rFonts w:ascii="Calibri" w:eastAsia="Calibri" w:hAnsi="Calibri" w:cs="Calibri"/>
      <w:b/>
      <w:sz w:val="26"/>
      <w:szCs w:val="26"/>
    </w:rPr>
  </w:style>
  <w:style w:type="character" w:styleId="Fett">
    <w:name w:val="Strong"/>
    <w:rPr>
      <w:b/>
      <w:bCs/>
    </w:rPr>
  </w:style>
  <w:style w:type="character" w:customStyle="1" w:styleId="inline">
    <w:name w:val="inline"/>
    <w:basedOn w:val="Absatz-Standardschriftart"/>
  </w:style>
  <w:style w:type="character" w:customStyle="1" w:styleId="ListLabel1">
    <w:name w:val="ListLabel 1"/>
    <w:rPr>
      <w:rFonts w:eastAsia="Arial" w:cs="Arial"/>
    </w:rPr>
  </w:style>
  <w:style w:type="character" w:customStyle="1" w:styleId="ListLabel2">
    <w:name w:val="ListLabel 2"/>
    <w:rPr>
      <w:b/>
      <w:i w:val="0"/>
      <w:sz w:val="20"/>
      <w:szCs w:val="20"/>
    </w:rPr>
  </w:style>
  <w:style w:type="character" w:customStyle="1" w:styleId="ListLabel3">
    <w:name w:val="ListLabel 3"/>
    <w:rPr>
      <w:b/>
      <w:i w:val="0"/>
    </w:rPr>
  </w:style>
  <w:style w:type="numbering" w:customStyle="1" w:styleId="KeineListe1">
    <w:name w:val="Keine Liste1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  <w:style w:type="numbering" w:customStyle="1" w:styleId="WWNum3">
    <w:name w:val="WWNum3"/>
    <w:basedOn w:val="KeineListe"/>
    <w:pPr>
      <w:numPr>
        <w:numId w:val="4"/>
      </w:numPr>
    </w:pPr>
  </w:style>
  <w:style w:type="numbering" w:customStyle="1" w:styleId="WWNum4">
    <w:name w:val="WWNum4"/>
    <w:basedOn w:val="KeineListe"/>
    <w:pPr>
      <w:numPr>
        <w:numId w:val="5"/>
      </w:numPr>
    </w:pPr>
  </w:style>
  <w:style w:type="numbering" w:customStyle="1" w:styleId="WWNum5">
    <w:name w:val="WWNum5"/>
    <w:basedOn w:val="KeineListe"/>
    <w:pPr>
      <w:numPr>
        <w:numId w:val="6"/>
      </w:numPr>
    </w:pPr>
  </w:style>
  <w:style w:type="numbering" w:customStyle="1" w:styleId="WWNum6">
    <w:name w:val="WWNum6"/>
    <w:basedOn w:val="KeineListe"/>
    <w:pPr>
      <w:numPr>
        <w:numId w:val="7"/>
      </w:numPr>
    </w:pPr>
  </w:style>
  <w:style w:type="numbering" w:customStyle="1" w:styleId="WWNum7">
    <w:name w:val="WWNum7"/>
    <w:basedOn w:val="Kei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Laszlo</cp:lastModifiedBy>
  <cp:revision>2</cp:revision>
  <dcterms:created xsi:type="dcterms:W3CDTF">2017-06-14T08:27:00Z</dcterms:created>
  <dcterms:modified xsi:type="dcterms:W3CDTF">2017-06-14T08:27:00Z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